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2311C" w14:textId="048FC746" w:rsidR="00BC5B19" w:rsidRDefault="00D33C42" w:rsidP="00D33C42">
      <w:pPr>
        <w:spacing w:after="110"/>
        <w:jc w:val="center"/>
      </w:pPr>
      <w:r>
        <w:rPr>
          <w:noProof/>
        </w:rPr>
        <w:drawing>
          <wp:anchor distT="0" distB="0" distL="114300" distR="114300" simplePos="0" relativeHeight="251659264" behindDoc="0" locked="0" layoutInCell="1" allowOverlap="0" wp14:anchorId="056B2775" wp14:editId="5D939D1E">
            <wp:simplePos x="0" y="0"/>
            <wp:positionH relativeFrom="page">
              <wp:posOffset>152400</wp:posOffset>
            </wp:positionH>
            <wp:positionV relativeFrom="page">
              <wp:posOffset>390525</wp:posOffset>
            </wp:positionV>
            <wp:extent cx="1207008" cy="368808"/>
            <wp:effectExtent l="0" t="0" r="0" b="0"/>
            <wp:wrapTopAndBottom/>
            <wp:docPr id="4026" name="Picture 4026"/>
            <wp:cNvGraphicFramePr/>
            <a:graphic xmlns:a="http://schemas.openxmlformats.org/drawingml/2006/main">
              <a:graphicData uri="http://schemas.openxmlformats.org/drawingml/2006/picture">
                <pic:pic xmlns:pic="http://schemas.openxmlformats.org/drawingml/2006/picture">
                  <pic:nvPicPr>
                    <pic:cNvPr id="4026" name="Picture 4026"/>
                    <pic:cNvPicPr/>
                  </pic:nvPicPr>
                  <pic:blipFill>
                    <a:blip r:embed="rId6"/>
                    <a:stretch>
                      <a:fillRect/>
                    </a:stretch>
                  </pic:blipFill>
                  <pic:spPr>
                    <a:xfrm>
                      <a:off x="0" y="0"/>
                      <a:ext cx="1207008" cy="368808"/>
                    </a:xfrm>
                    <a:prstGeom prst="rect">
                      <a:avLst/>
                    </a:prstGeom>
                  </pic:spPr>
                </pic:pic>
              </a:graphicData>
            </a:graphic>
          </wp:anchor>
        </w:drawing>
      </w:r>
      <w:r w:rsidR="00000000">
        <w:rPr>
          <w:rFonts w:ascii="Times New Roman" w:eastAsia="Times New Roman" w:hAnsi="Times New Roman" w:cs="Times New Roman"/>
          <w:b/>
          <w:sz w:val="28"/>
        </w:rPr>
        <w:t>FICHE DE RENSEIGNEMENTS DEMI-PENSION</w:t>
      </w:r>
    </w:p>
    <w:p w14:paraId="0432F749" w14:textId="77D8BAAF" w:rsidR="00BC5B19" w:rsidRDefault="00000000">
      <w:pPr>
        <w:spacing w:after="210"/>
        <w:ind w:left="1119" w:hanging="10"/>
      </w:pPr>
      <w:r>
        <w:rPr>
          <w:rFonts w:ascii="Times New Roman" w:eastAsia="Times New Roman" w:hAnsi="Times New Roman" w:cs="Times New Roman"/>
          <w:b/>
          <w:sz w:val="28"/>
        </w:rPr>
        <w:t xml:space="preserve">COLLEGE </w:t>
      </w:r>
      <w:r w:rsidR="00D33C42">
        <w:rPr>
          <w:rFonts w:ascii="Times New Roman" w:eastAsia="Times New Roman" w:hAnsi="Times New Roman" w:cs="Times New Roman"/>
          <w:b/>
          <w:sz w:val="28"/>
        </w:rPr>
        <w:t>LOUIS ARMSTRONG</w:t>
      </w:r>
      <w:r>
        <w:rPr>
          <w:rFonts w:ascii="Times New Roman" w:eastAsia="Times New Roman" w:hAnsi="Times New Roman" w:cs="Times New Roman"/>
          <w:b/>
          <w:sz w:val="28"/>
        </w:rPr>
        <w:t xml:space="preserve"> - ANNEE SCOLAIRE 2025-2026 </w:t>
      </w:r>
    </w:p>
    <w:p w14:paraId="2B5722EE" w14:textId="1FC990A2" w:rsidR="00BC5B19" w:rsidRDefault="00BC5B19" w:rsidP="00D33C42">
      <w:pPr>
        <w:spacing w:after="250"/>
        <w:ind w:left="22"/>
      </w:pPr>
    </w:p>
    <w:p w14:paraId="48E3CC78" w14:textId="12BE4A68" w:rsidR="00BC5B19" w:rsidRDefault="00000000">
      <w:pPr>
        <w:spacing w:after="25" w:line="250" w:lineRule="auto"/>
        <w:ind w:left="17" w:hanging="10"/>
      </w:pPr>
      <w:r>
        <w:rPr>
          <w:sz w:val="24"/>
        </w:rPr>
        <w:t xml:space="preserve">Il est possible de changer son forfait d’un trimestre à l’autre. Les demandes doivent être faites sur le document conçu à cet effet et rendues au Collège en respectant </w:t>
      </w:r>
      <w:r>
        <w:rPr>
          <w:b/>
          <w:sz w:val="24"/>
          <w:u w:val="single" w:color="000000"/>
        </w:rPr>
        <w:t>les dates ci-dessous</w:t>
      </w:r>
      <w:r>
        <w:rPr>
          <w:b/>
          <w:sz w:val="24"/>
        </w:rPr>
        <w:t xml:space="preserve"> </w:t>
      </w:r>
      <w:r>
        <w:rPr>
          <w:sz w:val="24"/>
        </w:rPr>
        <w:t xml:space="preserve">: </w:t>
      </w:r>
    </w:p>
    <w:p w14:paraId="6627E06C" w14:textId="5917BB14" w:rsidR="00BC5B19" w:rsidRDefault="00D33C42">
      <w:pPr>
        <w:numPr>
          <w:ilvl w:val="0"/>
          <w:numId w:val="1"/>
        </w:numPr>
        <w:spacing w:after="0"/>
        <w:ind w:left="456" w:right="91" w:hanging="449"/>
      </w:pPr>
      <w:r>
        <w:rPr>
          <w:sz w:val="24"/>
        </w:rPr>
        <w:t>Avant</w:t>
      </w:r>
      <w:r w:rsidR="00000000">
        <w:rPr>
          <w:sz w:val="24"/>
        </w:rPr>
        <w:t xml:space="preserve"> le 12 décembre 2025 pour le 2</w:t>
      </w:r>
      <w:r w:rsidR="00000000">
        <w:rPr>
          <w:sz w:val="24"/>
          <w:vertAlign w:val="superscript"/>
        </w:rPr>
        <w:t>e</w:t>
      </w:r>
      <w:r w:rsidR="00000000">
        <w:rPr>
          <w:sz w:val="24"/>
        </w:rPr>
        <w:t xml:space="preserve"> trimestre </w:t>
      </w:r>
    </w:p>
    <w:p w14:paraId="22D97E5B" w14:textId="480A01DC" w:rsidR="00BC5B19" w:rsidRDefault="00D33C42">
      <w:pPr>
        <w:numPr>
          <w:ilvl w:val="0"/>
          <w:numId w:val="1"/>
        </w:numPr>
        <w:spacing w:after="0"/>
        <w:ind w:left="456" w:right="91" w:hanging="449"/>
      </w:pPr>
      <w:r>
        <w:rPr>
          <w:sz w:val="24"/>
        </w:rPr>
        <w:t>Avant</w:t>
      </w:r>
      <w:r w:rsidR="00000000">
        <w:rPr>
          <w:sz w:val="24"/>
        </w:rPr>
        <w:t xml:space="preserve"> le 2 mars 2026 pour le 3e trimestre </w:t>
      </w:r>
    </w:p>
    <w:p w14:paraId="0CD12AD9" w14:textId="77777777" w:rsidR="00BC5B19" w:rsidRDefault="00000000">
      <w:pPr>
        <w:spacing w:after="0"/>
        <w:ind w:left="180"/>
      </w:pPr>
      <w:r>
        <w:rPr>
          <w:b/>
          <w:sz w:val="24"/>
        </w:rPr>
        <w:t xml:space="preserve"> </w:t>
      </w:r>
    </w:p>
    <w:p w14:paraId="4F658CBD" w14:textId="77777777" w:rsidR="00BC5B19" w:rsidRDefault="00000000">
      <w:pPr>
        <w:spacing w:after="27" w:line="250" w:lineRule="auto"/>
        <w:ind w:left="190" w:right="91" w:hanging="10"/>
      </w:pPr>
      <w:r>
        <w:rPr>
          <w:rFonts w:ascii="Segoe UI Emoji" w:eastAsia="Segoe UI Emoji" w:hAnsi="Segoe UI Emoji" w:cs="Segoe UI Emoji"/>
          <w:color w:val="9B9B9B"/>
        </w:rPr>
        <w:t xml:space="preserve"> </w:t>
      </w:r>
      <w:r>
        <w:rPr>
          <w:b/>
        </w:rPr>
        <w:t xml:space="preserve"> </w:t>
      </w:r>
      <w:r>
        <w:rPr>
          <w:b/>
          <w:sz w:val="24"/>
        </w:rPr>
        <w:t>Modalités de paiement</w:t>
      </w:r>
      <w:r>
        <w:rPr>
          <w:b/>
        </w:rPr>
        <w:t xml:space="preserve"> </w:t>
      </w:r>
      <w:r>
        <w:rPr>
          <w:sz w:val="24"/>
        </w:rPr>
        <w:t xml:space="preserve">  </w:t>
      </w:r>
    </w:p>
    <w:p w14:paraId="05D51A90" w14:textId="4C38DD7A" w:rsidR="00BC5B19" w:rsidRDefault="00000000">
      <w:pPr>
        <w:spacing w:after="25" w:line="250" w:lineRule="auto"/>
        <w:ind w:left="190" w:hanging="10"/>
      </w:pPr>
      <w:r>
        <w:rPr>
          <w:sz w:val="24"/>
        </w:rPr>
        <w:t xml:space="preserve">La Société Sodexo propose les modes de paiement suivant : </w:t>
      </w:r>
    </w:p>
    <w:p w14:paraId="5B68A901" w14:textId="2BD17982" w:rsidR="00BC5B19" w:rsidRDefault="00D33C42">
      <w:pPr>
        <w:numPr>
          <w:ilvl w:val="0"/>
          <w:numId w:val="1"/>
        </w:numPr>
        <w:spacing w:after="27" w:line="250" w:lineRule="auto"/>
        <w:ind w:left="456" w:right="91" w:hanging="449"/>
      </w:pPr>
      <w:r>
        <w:rPr>
          <w:noProof/>
        </w:rPr>
        <mc:AlternateContent>
          <mc:Choice Requires="wpg">
            <w:drawing>
              <wp:anchor distT="0" distB="0" distL="114300" distR="114300" simplePos="0" relativeHeight="251658240" behindDoc="1" locked="0" layoutInCell="1" allowOverlap="1" wp14:anchorId="5CE22856" wp14:editId="477E49FF">
                <wp:simplePos x="0" y="0"/>
                <wp:positionH relativeFrom="margin">
                  <wp:posOffset>5316220</wp:posOffset>
                </wp:positionH>
                <wp:positionV relativeFrom="paragraph">
                  <wp:posOffset>9525</wp:posOffset>
                </wp:positionV>
                <wp:extent cx="1527810" cy="661670"/>
                <wp:effectExtent l="0" t="0" r="15240" b="24130"/>
                <wp:wrapNone/>
                <wp:docPr id="3794" name="Group 3794"/>
                <wp:cNvGraphicFramePr/>
                <a:graphic xmlns:a="http://schemas.openxmlformats.org/drawingml/2006/main">
                  <a:graphicData uri="http://schemas.microsoft.com/office/word/2010/wordprocessingGroup">
                    <wpg:wgp>
                      <wpg:cNvGrpSpPr/>
                      <wpg:grpSpPr>
                        <a:xfrm>
                          <a:off x="0" y="0"/>
                          <a:ext cx="1527810" cy="661670"/>
                          <a:chOff x="0" y="0"/>
                          <a:chExt cx="1527810" cy="661670"/>
                        </a:xfrm>
                      </wpg:grpSpPr>
                      <wps:wsp>
                        <wps:cNvPr id="664" name="Shape 664"/>
                        <wps:cNvSpPr/>
                        <wps:spPr>
                          <a:xfrm>
                            <a:off x="2286" y="0"/>
                            <a:ext cx="81280" cy="657225"/>
                          </a:xfrm>
                          <a:custGeom>
                            <a:avLst/>
                            <a:gdLst/>
                            <a:ahLst/>
                            <a:cxnLst/>
                            <a:rect l="0" t="0" r="0" b="0"/>
                            <a:pathLst>
                              <a:path w="81280" h="657225">
                                <a:moveTo>
                                  <a:pt x="0" y="0"/>
                                </a:moveTo>
                                <a:lnTo>
                                  <a:pt x="15748" y="762"/>
                                </a:lnTo>
                                <a:lnTo>
                                  <a:pt x="28702" y="2667"/>
                                </a:lnTo>
                                <a:lnTo>
                                  <a:pt x="37465" y="5461"/>
                                </a:lnTo>
                                <a:lnTo>
                                  <a:pt x="40640" y="9017"/>
                                </a:lnTo>
                                <a:lnTo>
                                  <a:pt x="40640" y="319532"/>
                                </a:lnTo>
                                <a:lnTo>
                                  <a:pt x="43815" y="323088"/>
                                </a:lnTo>
                                <a:lnTo>
                                  <a:pt x="52451" y="326009"/>
                                </a:lnTo>
                                <a:lnTo>
                                  <a:pt x="65405" y="327914"/>
                                </a:lnTo>
                                <a:lnTo>
                                  <a:pt x="81280" y="328549"/>
                                </a:lnTo>
                                <a:lnTo>
                                  <a:pt x="65405" y="329311"/>
                                </a:lnTo>
                                <a:lnTo>
                                  <a:pt x="52451" y="331216"/>
                                </a:lnTo>
                                <a:lnTo>
                                  <a:pt x="43815" y="334137"/>
                                </a:lnTo>
                                <a:lnTo>
                                  <a:pt x="40640" y="337566"/>
                                </a:lnTo>
                                <a:lnTo>
                                  <a:pt x="40640" y="648208"/>
                                </a:lnTo>
                                <a:lnTo>
                                  <a:pt x="37465" y="651764"/>
                                </a:lnTo>
                                <a:lnTo>
                                  <a:pt x="28702" y="654558"/>
                                </a:lnTo>
                                <a:lnTo>
                                  <a:pt x="15748" y="656590"/>
                                </a:lnTo>
                                <a:lnTo>
                                  <a:pt x="0" y="657225"/>
                                </a:lnTo>
                              </a:path>
                            </a:pathLst>
                          </a:custGeom>
                          <a:ln w="6350" cap="flat">
                            <a:round/>
                          </a:ln>
                        </wps:spPr>
                        <wps:style>
                          <a:lnRef idx="1">
                            <a:srgbClr val="155F82"/>
                          </a:lnRef>
                          <a:fillRef idx="0">
                            <a:srgbClr val="000000">
                              <a:alpha val="0"/>
                            </a:srgbClr>
                          </a:fillRef>
                          <a:effectRef idx="0">
                            <a:scrgbClr r="0" g="0" b="0"/>
                          </a:effectRef>
                          <a:fontRef idx="none"/>
                        </wps:style>
                        <wps:bodyPr/>
                      </wps:wsp>
                      <wps:wsp>
                        <wps:cNvPr id="665" name="Shape 665"/>
                        <wps:cNvSpPr/>
                        <wps:spPr>
                          <a:xfrm>
                            <a:off x="0" y="9017"/>
                            <a:ext cx="1219200" cy="576199"/>
                          </a:xfrm>
                          <a:custGeom>
                            <a:avLst/>
                            <a:gdLst/>
                            <a:ahLst/>
                            <a:cxnLst/>
                            <a:rect l="0" t="0" r="0" b="0"/>
                            <a:pathLst>
                              <a:path w="1219200" h="576199">
                                <a:moveTo>
                                  <a:pt x="0" y="576199"/>
                                </a:moveTo>
                                <a:lnTo>
                                  <a:pt x="1219200" y="576199"/>
                                </a:lnTo>
                                <a:lnTo>
                                  <a:pt x="1219200" y="0"/>
                                </a:lnTo>
                                <a:lnTo>
                                  <a:pt x="0" y="0"/>
                                </a:lnTo>
                                <a:close/>
                              </a:path>
                            </a:pathLst>
                          </a:custGeom>
                          <a:ln w="12700" cap="flat">
                            <a:round/>
                          </a:ln>
                        </wps:spPr>
                        <wps:style>
                          <a:lnRef idx="1">
                            <a:srgbClr val="FFFFFF"/>
                          </a:lnRef>
                          <a:fillRef idx="0">
                            <a:srgbClr val="000000">
                              <a:alpha val="0"/>
                            </a:srgbClr>
                          </a:fillRef>
                          <a:effectRef idx="0">
                            <a:scrgbClr r="0" g="0" b="0"/>
                          </a:effectRef>
                          <a:fontRef idx="none"/>
                        </wps:style>
                        <wps:bodyPr/>
                      </wps:wsp>
                      <wps:wsp>
                        <wps:cNvPr id="667" name="Shape 667"/>
                        <wps:cNvSpPr/>
                        <wps:spPr>
                          <a:xfrm>
                            <a:off x="175260" y="13970"/>
                            <a:ext cx="1352550" cy="647700"/>
                          </a:xfrm>
                          <a:custGeom>
                            <a:avLst/>
                            <a:gdLst/>
                            <a:ahLst/>
                            <a:cxnLst/>
                            <a:rect l="0" t="0" r="0" b="0"/>
                            <a:pathLst>
                              <a:path w="1352550" h="647700">
                                <a:moveTo>
                                  <a:pt x="0" y="647700"/>
                                </a:moveTo>
                                <a:lnTo>
                                  <a:pt x="1352550" y="647700"/>
                                </a:lnTo>
                                <a:lnTo>
                                  <a:pt x="1352550" y="0"/>
                                </a:lnTo>
                                <a:lnTo>
                                  <a:pt x="0" y="0"/>
                                </a:lnTo>
                                <a:close/>
                              </a:path>
                            </a:pathLst>
                          </a:custGeom>
                          <a:ln w="9525" cap="flat">
                            <a:miter lim="1016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46DEFF8" id="Group 3794" o:spid="_x0000_s1026" style="position:absolute;margin-left:418.6pt;margin-top:.75pt;width:120.3pt;height:52.1pt;z-index:-251658240;mso-position-horizontal-relative:margin" coordsize="15278,6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">
                <v:shape id="Shape 664" o:spid="_x0000_s1027" style="position:absolute;left:22;width:813;height:6572;visibility:visible;mso-wrap-style:square;v-text-anchor:top" coordsize="81280,657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" path="m,l15748,762,28702,2667r8763,2794l40640,9017r,310515l43815,323088r8636,2921l65405,327914r15875,635l65405,329311r-12954,1905l43815,334137r-3175,3429l40640,648208r-3175,3556l28702,654558r-12954,2032l,657225e" filled="f" strokecolor="#155f82" strokeweight=".5pt">
                  <v:path arrowok="t" textboxrect="0,0,81280,657225"/>
                </v:shape>
                <v:shape id="Shape 665" o:spid="_x0000_s1028" style="position:absolute;top:90;width:12192;height:5762;visibility:visible;mso-wrap-style:square;v-text-anchor:top" coordsize="1219200,5761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" path="m,576199r1219200,l1219200,,,,,576199xe" filled="f" strokecolor="white" strokeweight="1pt">
                  <v:path arrowok="t" textboxrect="0,0,1219200,576199"/>
                </v:shape>
                <v:shape id="Shape 667" o:spid="_x0000_s1029" style="position:absolute;left:1752;top:139;width:13526;height:6477;visibility:visible;mso-wrap-style:square;v-text-anchor:top" coordsize="1352550,64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" path="m,647700r1352550,l1352550,,,,,647700xe" filled="f">
                  <v:stroke miterlimit="66585f" joinstyle="miter"/>
                  <v:path arrowok="t" textboxrect="0,0,1352550,647700"/>
                </v:shape>
                <w10:wrap anchorx="margin"/>
              </v:group>
            </w:pict>
          </mc:Fallback>
        </mc:AlternateContent>
      </w:r>
      <w:r w:rsidR="00000000">
        <w:rPr>
          <w:b/>
          <w:sz w:val="24"/>
        </w:rPr>
        <w:t>Prélèvement automatique en une ou trois fois en complétant le mandat annexé</w:t>
      </w:r>
      <w:r w:rsidR="00000000">
        <w:rPr>
          <w:rFonts w:ascii="Wingdings" w:eastAsia="Wingdings" w:hAnsi="Wingdings" w:cs="Wingdings"/>
          <w:sz w:val="24"/>
        </w:rPr>
        <w:t xml:space="preserve"> </w:t>
      </w:r>
      <w:r>
        <w:rPr>
          <w:rFonts w:ascii="Wingdings" w:eastAsia="Wingdings" w:hAnsi="Wingdings" w:cs="Wingdings"/>
          <w:sz w:val="24"/>
        </w:rPr>
        <w:t xml:space="preserve"> </w:t>
      </w:r>
      <w:r w:rsidR="00000000">
        <w:rPr>
          <w:b/>
        </w:rPr>
        <w:t xml:space="preserve">Ces modes de </w:t>
      </w:r>
    </w:p>
    <w:p w14:paraId="5D7A7484" w14:textId="126F5D47" w:rsidR="00D33C42" w:rsidRPr="00D33C42" w:rsidRDefault="00000000" w:rsidP="00D33C42">
      <w:pPr>
        <w:numPr>
          <w:ilvl w:val="0"/>
          <w:numId w:val="1"/>
        </w:numPr>
        <w:spacing w:after="27" w:line="250" w:lineRule="auto"/>
        <w:ind w:left="456" w:right="91" w:hanging="449"/>
      </w:pPr>
      <w:r>
        <w:rPr>
          <w:b/>
          <w:sz w:val="24"/>
        </w:rPr>
        <w:t>CB sur le site de paiement en ligne :</w:t>
      </w:r>
      <w:hyperlink r:id="rId7">
        <w:r>
          <w:rPr>
            <w:b/>
            <w:sz w:val="24"/>
          </w:rPr>
          <w:t xml:space="preserve"> </w:t>
        </w:r>
      </w:hyperlink>
      <w:hyperlink r:id="rId8">
        <w:r>
          <w:rPr>
            <w:sz w:val="24"/>
          </w:rPr>
          <w:t xml:space="preserve"> </w:t>
        </w:r>
      </w:hyperlink>
      <w:hyperlink r:id="rId9">
        <w:r>
          <w:rPr>
            <w:color w:val="0000FF"/>
            <w:sz w:val="24"/>
            <w:u w:val="single" w:color="0000FF"/>
          </w:rPr>
          <w:t>https://aes00416.paiementdp.com</w:t>
        </w:r>
      </w:hyperlink>
      <w:hyperlink r:id="rId10">
        <w:r>
          <w:rPr>
            <w:rFonts w:ascii="Wingdings" w:eastAsia="Wingdings" w:hAnsi="Wingdings" w:cs="Wingdings"/>
            <w:sz w:val="24"/>
          </w:rPr>
          <w:t xml:space="preserve"> </w:t>
        </w:r>
      </w:hyperlink>
      <w:r>
        <w:rPr>
          <w:rFonts w:ascii="Wingdings" w:eastAsia="Wingdings" w:hAnsi="Wingdings" w:cs="Wingdings"/>
          <w:sz w:val="24"/>
        </w:rPr>
        <w:tab/>
      </w:r>
      <w:r w:rsidR="00D33C42">
        <w:rPr>
          <w:rFonts w:ascii="Wingdings" w:eastAsia="Wingdings" w:hAnsi="Wingdings" w:cs="Wingdings"/>
          <w:sz w:val="24"/>
        </w:rPr>
        <w:t xml:space="preserve">    </w:t>
      </w:r>
      <w:r>
        <w:rPr>
          <w:b/>
        </w:rPr>
        <w:t xml:space="preserve">paiement sont à </w:t>
      </w:r>
    </w:p>
    <w:p w14:paraId="7E51E6F7" w14:textId="33291318" w:rsidR="00BC5B19" w:rsidRPr="00D33C42" w:rsidRDefault="00000000" w:rsidP="00D33C42">
      <w:pPr>
        <w:numPr>
          <w:ilvl w:val="0"/>
          <w:numId w:val="1"/>
        </w:numPr>
        <w:spacing w:after="27" w:line="250" w:lineRule="auto"/>
        <w:ind w:left="456" w:right="91" w:hanging="449"/>
      </w:pPr>
      <w:r>
        <w:rPr>
          <w:rFonts w:ascii="Arial" w:eastAsia="Arial" w:hAnsi="Arial" w:cs="Arial"/>
          <w:sz w:val="24"/>
        </w:rPr>
        <w:t xml:space="preserve"> </w:t>
      </w:r>
      <w:r>
        <w:rPr>
          <w:b/>
          <w:sz w:val="24"/>
        </w:rPr>
        <w:t xml:space="preserve">Chèque(s) établi(s) à l’ordre de </w:t>
      </w:r>
      <w:r>
        <w:rPr>
          <w:b/>
          <w:sz w:val="24"/>
          <w:u w:val="single" w:color="000000"/>
        </w:rPr>
        <w:t>Sodexo SFRS</w:t>
      </w:r>
      <w:r>
        <w:rPr>
          <w:b/>
          <w:sz w:val="24"/>
        </w:rPr>
        <w:t xml:space="preserve"> (nom/prénom de l’élève au dos</w:t>
      </w:r>
      <w:r>
        <w:rPr>
          <w:sz w:val="24"/>
        </w:rPr>
        <w:t>)</w:t>
      </w:r>
      <w:r>
        <w:rPr>
          <w:rFonts w:ascii="Wingdings" w:eastAsia="Wingdings" w:hAnsi="Wingdings" w:cs="Wingdings"/>
          <w:sz w:val="24"/>
        </w:rPr>
        <w:t xml:space="preserve"> </w:t>
      </w:r>
      <w:r>
        <w:rPr>
          <w:rFonts w:ascii="Wingdings" w:eastAsia="Wingdings" w:hAnsi="Wingdings" w:cs="Wingdings"/>
          <w:sz w:val="24"/>
        </w:rPr>
        <w:tab/>
      </w:r>
      <w:r w:rsidR="00D33C42">
        <w:rPr>
          <w:rFonts w:ascii="Wingdings" w:eastAsia="Wingdings" w:hAnsi="Wingdings" w:cs="Wingdings"/>
          <w:sz w:val="24"/>
        </w:rPr>
        <w:t xml:space="preserve"> </w:t>
      </w:r>
      <w:r>
        <w:rPr>
          <w:b/>
        </w:rPr>
        <w:t xml:space="preserve">privilégier </w:t>
      </w:r>
      <w:r w:rsidRPr="00D33C42">
        <w:rPr>
          <w:rFonts w:ascii="Wingdings" w:eastAsia="Wingdings" w:hAnsi="Wingdings" w:cs="Wingdings"/>
        </w:rPr>
        <w:t xml:space="preserve"> </w:t>
      </w:r>
    </w:p>
    <w:p w14:paraId="22B9F8FC" w14:textId="77777777" w:rsidR="00D33C42" w:rsidRDefault="00D33C42" w:rsidP="00D33C42">
      <w:pPr>
        <w:spacing w:after="27" w:line="250" w:lineRule="auto"/>
        <w:ind w:left="456" w:right="91"/>
      </w:pPr>
    </w:p>
    <w:p w14:paraId="27167F21" w14:textId="05CAE61A" w:rsidR="00BC5B19" w:rsidRDefault="00000000">
      <w:pPr>
        <w:numPr>
          <w:ilvl w:val="0"/>
          <w:numId w:val="1"/>
        </w:numPr>
        <w:spacing w:after="41" w:line="249" w:lineRule="auto"/>
        <w:ind w:left="456" w:right="91" w:hanging="449"/>
      </w:pPr>
      <w:r>
        <w:t>Espèces (à titre exceptionnel</w:t>
      </w:r>
      <w:r w:rsidR="00D33C42">
        <w:t>) dans une enveloppe avec nom/prénom de l’élève</w:t>
      </w:r>
    </w:p>
    <w:p w14:paraId="2517CFF5" w14:textId="6F4721C9" w:rsidR="00BC5B19" w:rsidRDefault="00000000">
      <w:pPr>
        <w:spacing w:after="0"/>
        <w:ind w:left="22"/>
      </w:pPr>
      <w:r>
        <w:t xml:space="preserve"> </w:t>
      </w:r>
    </w:p>
    <w:p w14:paraId="1D91C1F9" w14:textId="16F65E63" w:rsidR="00BC5B19" w:rsidRDefault="00000000">
      <w:pPr>
        <w:spacing w:after="0" w:line="254" w:lineRule="auto"/>
        <w:ind w:left="178" w:right="265"/>
      </w:pPr>
      <w:r>
        <w:rPr>
          <w:b/>
          <w:color w:val="FF0000"/>
          <w:sz w:val="24"/>
          <w:u w:val="single" w:color="FF0000"/>
        </w:rPr>
        <w:t>Il est possible, pour chaque trimestre, de payer en trois fois, quel que soit le mode de règlement choisi.</w:t>
      </w:r>
      <w:r>
        <w:rPr>
          <w:b/>
          <w:color w:val="FF0000"/>
          <w:sz w:val="24"/>
        </w:rPr>
        <w:t xml:space="preserve"> </w:t>
      </w:r>
      <w:r>
        <w:rPr>
          <w:color w:val="FF0000"/>
          <w:sz w:val="24"/>
        </w:rPr>
        <w:t>Le 1</w:t>
      </w:r>
      <w:r>
        <w:rPr>
          <w:color w:val="FF0000"/>
          <w:sz w:val="24"/>
          <w:vertAlign w:val="superscript"/>
        </w:rPr>
        <w:t>er</w:t>
      </w:r>
      <w:r>
        <w:rPr>
          <w:color w:val="FF0000"/>
          <w:sz w:val="24"/>
        </w:rPr>
        <w:t xml:space="preserve"> règlement doit nous parvenir dans les deux semaines après le début du trimestre. </w:t>
      </w:r>
    </w:p>
    <w:p w14:paraId="7BCB2A5F" w14:textId="5B281599" w:rsidR="00BC5B19" w:rsidRDefault="00000000">
      <w:pPr>
        <w:spacing w:after="0"/>
        <w:ind w:left="22"/>
      </w:pPr>
      <w:r>
        <w:rPr>
          <w:b/>
          <w:color w:val="FF0000"/>
          <w:sz w:val="24"/>
        </w:rPr>
        <w:t xml:space="preserve"> </w:t>
      </w:r>
    </w:p>
    <w:tbl>
      <w:tblPr>
        <w:tblStyle w:val="TableGrid"/>
        <w:tblpPr w:leftFromText="141" w:rightFromText="141" w:vertAnchor="text" w:tblpY="1"/>
        <w:tblOverlap w:val="never"/>
        <w:tblW w:w="6520" w:type="dxa"/>
        <w:tblInd w:w="0" w:type="dxa"/>
        <w:tblCellMar>
          <w:top w:w="52" w:type="dxa"/>
          <w:left w:w="107" w:type="dxa"/>
          <w:bottom w:w="0" w:type="dxa"/>
          <w:right w:w="115" w:type="dxa"/>
        </w:tblCellMar>
        <w:tblLook w:val="04A0" w:firstRow="1" w:lastRow="0" w:firstColumn="1" w:lastColumn="0" w:noHBand="0" w:noVBand="1"/>
      </w:tblPr>
      <w:tblGrid>
        <w:gridCol w:w="2215"/>
        <w:gridCol w:w="4305"/>
      </w:tblGrid>
      <w:tr w:rsidR="00BC5B19" w14:paraId="6B6C11D0" w14:textId="77777777" w:rsidTr="00D33C42">
        <w:trPr>
          <w:trHeight w:val="302"/>
        </w:trPr>
        <w:tc>
          <w:tcPr>
            <w:tcW w:w="1303" w:type="dxa"/>
            <w:tcBorders>
              <w:top w:val="single" w:sz="4" w:space="0" w:color="000000"/>
              <w:left w:val="single" w:sz="4" w:space="0" w:color="000000"/>
              <w:bottom w:val="single" w:sz="4" w:space="0" w:color="000000"/>
              <w:right w:val="nil"/>
            </w:tcBorders>
            <w:shd w:val="clear" w:color="auto" w:fill="D9D9D9"/>
          </w:tcPr>
          <w:p w14:paraId="3C257234" w14:textId="77777777" w:rsidR="00BC5B19" w:rsidRDefault="00BC5B19" w:rsidP="00D33C42"/>
        </w:tc>
        <w:tc>
          <w:tcPr>
            <w:tcW w:w="5217" w:type="dxa"/>
            <w:tcBorders>
              <w:top w:val="single" w:sz="4" w:space="0" w:color="000000"/>
              <w:left w:val="nil"/>
              <w:bottom w:val="single" w:sz="4" w:space="0" w:color="000000"/>
              <w:right w:val="single" w:sz="4" w:space="0" w:color="000000"/>
            </w:tcBorders>
            <w:shd w:val="clear" w:color="auto" w:fill="D9D9D9"/>
          </w:tcPr>
          <w:p w14:paraId="039AF9C1" w14:textId="335619CA" w:rsidR="00BC5B19" w:rsidRDefault="00000000" w:rsidP="00D33C42">
            <w:pPr>
              <w:spacing w:after="0"/>
              <w:jc w:val="center"/>
            </w:pPr>
            <w:r>
              <w:rPr>
                <w:b/>
                <w:sz w:val="24"/>
              </w:rPr>
              <w:t xml:space="preserve">TRIMESTRE  1 – ANNEE SCOLAIRE </w:t>
            </w:r>
            <w:r w:rsidR="00D33C42">
              <w:rPr>
                <w:b/>
                <w:sz w:val="24"/>
              </w:rPr>
              <w:t xml:space="preserve">     </w:t>
            </w:r>
            <w:r>
              <w:rPr>
                <w:b/>
                <w:sz w:val="24"/>
              </w:rPr>
              <w:t>2025-2026</w:t>
            </w:r>
          </w:p>
        </w:tc>
      </w:tr>
      <w:tr w:rsidR="00D33C42" w14:paraId="4F412836" w14:textId="77777777" w:rsidTr="00D33C42">
        <w:trPr>
          <w:trHeight w:val="302"/>
        </w:trPr>
        <w:tc>
          <w:tcPr>
            <w:tcW w:w="1303" w:type="dxa"/>
            <w:tcBorders>
              <w:top w:val="single" w:sz="4" w:space="0" w:color="000000"/>
              <w:left w:val="single" w:sz="4" w:space="0" w:color="000000"/>
              <w:bottom w:val="single" w:sz="4" w:space="0" w:color="000000"/>
              <w:right w:val="single" w:sz="4" w:space="0" w:color="000000"/>
            </w:tcBorders>
          </w:tcPr>
          <w:p w14:paraId="2BF45B50" w14:textId="77777777" w:rsidR="00D33C42" w:rsidRDefault="00D33C42" w:rsidP="00D33C42">
            <w:pPr>
              <w:spacing w:after="0"/>
            </w:pPr>
            <w:r>
              <w:rPr>
                <w:b/>
                <w:sz w:val="24"/>
              </w:rPr>
              <w:t xml:space="preserve"> </w:t>
            </w:r>
          </w:p>
        </w:tc>
        <w:tc>
          <w:tcPr>
            <w:tcW w:w="5217" w:type="dxa"/>
            <w:tcBorders>
              <w:top w:val="single" w:sz="4" w:space="0" w:color="000000"/>
              <w:left w:val="single" w:sz="4" w:space="0" w:color="000000"/>
              <w:bottom w:val="single" w:sz="4" w:space="0" w:color="000000"/>
              <w:right w:val="single" w:sz="4" w:space="0" w:color="000000"/>
            </w:tcBorders>
            <w:shd w:val="clear" w:color="auto" w:fill="9BBB59"/>
          </w:tcPr>
          <w:p w14:paraId="585FE48D" w14:textId="77777777" w:rsidR="00D33C42" w:rsidRDefault="00D33C42" w:rsidP="00D33C42">
            <w:pPr>
              <w:spacing w:after="0"/>
              <w:ind w:left="2"/>
            </w:pPr>
            <w:r>
              <w:rPr>
                <w:b/>
                <w:sz w:val="24"/>
              </w:rPr>
              <w:t xml:space="preserve">Forfait 4 jours/semaine (55 jours) </w:t>
            </w:r>
          </w:p>
        </w:tc>
      </w:tr>
      <w:tr w:rsidR="00D33C42" w14:paraId="18D5F93B" w14:textId="77777777" w:rsidTr="00D33C42">
        <w:trPr>
          <w:trHeight w:val="305"/>
        </w:trPr>
        <w:tc>
          <w:tcPr>
            <w:tcW w:w="1303" w:type="dxa"/>
            <w:tcBorders>
              <w:top w:val="single" w:sz="4" w:space="0" w:color="000000"/>
              <w:left w:val="single" w:sz="4" w:space="0" w:color="000000"/>
              <w:bottom w:val="single" w:sz="4" w:space="0" w:color="000000"/>
              <w:right w:val="single" w:sz="4" w:space="0" w:color="000000"/>
            </w:tcBorders>
          </w:tcPr>
          <w:p w14:paraId="11B08D8A" w14:textId="77777777" w:rsidR="00D33C42" w:rsidRDefault="00D33C42" w:rsidP="00D33C42">
            <w:pPr>
              <w:spacing w:after="0"/>
            </w:pPr>
            <w:r>
              <w:rPr>
                <w:b/>
                <w:sz w:val="24"/>
              </w:rPr>
              <w:t xml:space="preserve"> </w:t>
            </w:r>
          </w:p>
        </w:tc>
        <w:tc>
          <w:tcPr>
            <w:tcW w:w="5217" w:type="dxa"/>
            <w:tcBorders>
              <w:top w:val="single" w:sz="4" w:space="0" w:color="000000"/>
              <w:left w:val="single" w:sz="4" w:space="0" w:color="000000"/>
              <w:bottom w:val="single" w:sz="4" w:space="0" w:color="000000"/>
              <w:right w:val="single" w:sz="4" w:space="0" w:color="000000"/>
            </w:tcBorders>
          </w:tcPr>
          <w:p w14:paraId="3D32AC84" w14:textId="77777777" w:rsidR="00D33C42" w:rsidRDefault="00D33C42" w:rsidP="00D33C42">
            <w:pPr>
              <w:spacing w:after="0"/>
              <w:ind w:left="2"/>
            </w:pPr>
            <w:r>
              <w:rPr>
                <w:b/>
                <w:sz w:val="24"/>
              </w:rPr>
              <w:t xml:space="preserve">Montant dû pour le trimestre : 244,75 € </w:t>
            </w:r>
          </w:p>
        </w:tc>
      </w:tr>
      <w:tr w:rsidR="00D33C42" w14:paraId="4ECE4665" w14:textId="77777777" w:rsidTr="00D33C42">
        <w:trPr>
          <w:trHeight w:val="300"/>
        </w:trPr>
        <w:tc>
          <w:tcPr>
            <w:tcW w:w="1303" w:type="dxa"/>
            <w:tcBorders>
              <w:top w:val="single" w:sz="4" w:space="0" w:color="000000"/>
              <w:left w:val="single" w:sz="4" w:space="0" w:color="000000"/>
              <w:bottom w:val="single" w:sz="4" w:space="0" w:color="000000"/>
              <w:right w:val="single" w:sz="4" w:space="0" w:color="000000"/>
            </w:tcBorders>
            <w:shd w:val="clear" w:color="auto" w:fill="D9D9D9"/>
          </w:tcPr>
          <w:p w14:paraId="63C7011B" w14:textId="77777777" w:rsidR="00D33C42" w:rsidRDefault="00D33C42" w:rsidP="00D33C42">
            <w:pPr>
              <w:spacing w:after="0"/>
            </w:pPr>
            <w:r>
              <w:rPr>
                <w:sz w:val="24"/>
              </w:rPr>
              <w:t xml:space="preserve"> </w:t>
            </w:r>
          </w:p>
        </w:tc>
        <w:tc>
          <w:tcPr>
            <w:tcW w:w="5217" w:type="dxa"/>
            <w:tcBorders>
              <w:top w:val="single" w:sz="4" w:space="0" w:color="000000"/>
              <w:left w:val="single" w:sz="4" w:space="0" w:color="000000"/>
              <w:bottom w:val="single" w:sz="4" w:space="0" w:color="000000"/>
              <w:right w:val="single" w:sz="4" w:space="0" w:color="000000"/>
            </w:tcBorders>
            <w:shd w:val="clear" w:color="auto" w:fill="D9D9D9"/>
          </w:tcPr>
          <w:p w14:paraId="64825D3F" w14:textId="77777777" w:rsidR="00D33C42" w:rsidRDefault="00D33C42" w:rsidP="00D33C42">
            <w:pPr>
              <w:spacing w:after="0"/>
              <w:ind w:left="2"/>
            </w:pPr>
            <w:r>
              <w:rPr>
                <w:b/>
                <w:sz w:val="24"/>
              </w:rPr>
              <w:t xml:space="preserve">Montant mensuel  </w:t>
            </w:r>
          </w:p>
        </w:tc>
      </w:tr>
      <w:tr w:rsidR="00D33C42" w14:paraId="68B6E14A" w14:textId="77777777" w:rsidTr="00D33C42">
        <w:trPr>
          <w:trHeight w:val="304"/>
        </w:trPr>
        <w:tc>
          <w:tcPr>
            <w:tcW w:w="1303" w:type="dxa"/>
            <w:tcBorders>
              <w:top w:val="single" w:sz="4" w:space="0" w:color="000000"/>
              <w:left w:val="single" w:sz="4" w:space="0" w:color="000000"/>
              <w:bottom w:val="single" w:sz="4" w:space="0" w:color="000000"/>
              <w:right w:val="single" w:sz="4" w:space="0" w:color="000000"/>
            </w:tcBorders>
          </w:tcPr>
          <w:p w14:paraId="5A6F70D3" w14:textId="77777777" w:rsidR="00D33C42" w:rsidRDefault="00D33C42" w:rsidP="00D33C42">
            <w:pPr>
              <w:spacing w:after="0"/>
              <w:ind w:left="1512"/>
            </w:pPr>
            <w:r>
              <w:rPr>
                <w:sz w:val="24"/>
              </w:rPr>
              <w:t xml:space="preserve">Mois 1 </w:t>
            </w:r>
          </w:p>
        </w:tc>
        <w:tc>
          <w:tcPr>
            <w:tcW w:w="5217" w:type="dxa"/>
            <w:tcBorders>
              <w:top w:val="single" w:sz="4" w:space="0" w:color="000000"/>
              <w:left w:val="single" w:sz="4" w:space="0" w:color="000000"/>
              <w:bottom w:val="single" w:sz="4" w:space="0" w:color="000000"/>
              <w:right w:val="single" w:sz="4" w:space="0" w:color="000000"/>
            </w:tcBorders>
          </w:tcPr>
          <w:p w14:paraId="00482A38" w14:textId="77777777" w:rsidR="00D33C42" w:rsidRDefault="00D33C42" w:rsidP="00D33C42">
            <w:pPr>
              <w:spacing w:after="0"/>
              <w:ind w:left="2"/>
            </w:pPr>
            <w:r>
              <w:rPr>
                <w:sz w:val="24"/>
              </w:rPr>
              <w:t xml:space="preserve">81,60 € </w:t>
            </w:r>
          </w:p>
        </w:tc>
      </w:tr>
      <w:tr w:rsidR="00D33C42" w14:paraId="4D54C709" w14:textId="77777777" w:rsidTr="00D33C42">
        <w:trPr>
          <w:trHeight w:val="305"/>
        </w:trPr>
        <w:tc>
          <w:tcPr>
            <w:tcW w:w="1303" w:type="dxa"/>
            <w:tcBorders>
              <w:top w:val="single" w:sz="4" w:space="0" w:color="000000"/>
              <w:left w:val="single" w:sz="4" w:space="0" w:color="000000"/>
              <w:bottom w:val="single" w:sz="4" w:space="0" w:color="000000"/>
              <w:right w:val="single" w:sz="4" w:space="0" w:color="000000"/>
            </w:tcBorders>
          </w:tcPr>
          <w:p w14:paraId="4AEDB91C" w14:textId="77777777" w:rsidR="00D33C42" w:rsidRDefault="00D33C42" w:rsidP="00D33C42">
            <w:pPr>
              <w:spacing w:after="0"/>
              <w:ind w:left="1512"/>
            </w:pPr>
            <w:r>
              <w:rPr>
                <w:sz w:val="24"/>
              </w:rPr>
              <w:t xml:space="preserve">Mois 2 </w:t>
            </w:r>
          </w:p>
        </w:tc>
        <w:tc>
          <w:tcPr>
            <w:tcW w:w="5217" w:type="dxa"/>
            <w:tcBorders>
              <w:top w:val="single" w:sz="4" w:space="0" w:color="000000"/>
              <w:left w:val="single" w:sz="4" w:space="0" w:color="000000"/>
              <w:bottom w:val="single" w:sz="4" w:space="0" w:color="000000"/>
              <w:right w:val="single" w:sz="4" w:space="0" w:color="000000"/>
            </w:tcBorders>
          </w:tcPr>
          <w:p w14:paraId="1CE35039" w14:textId="77777777" w:rsidR="00D33C42" w:rsidRDefault="00D33C42" w:rsidP="00D33C42">
            <w:pPr>
              <w:spacing w:after="0"/>
              <w:ind w:left="2"/>
            </w:pPr>
            <w:r>
              <w:rPr>
                <w:sz w:val="24"/>
              </w:rPr>
              <w:t xml:space="preserve">81,60 € </w:t>
            </w:r>
          </w:p>
        </w:tc>
      </w:tr>
      <w:tr w:rsidR="00D33C42" w14:paraId="66DA30E4" w14:textId="77777777" w:rsidTr="00D33C42">
        <w:trPr>
          <w:trHeight w:val="302"/>
        </w:trPr>
        <w:tc>
          <w:tcPr>
            <w:tcW w:w="1303" w:type="dxa"/>
            <w:tcBorders>
              <w:top w:val="single" w:sz="4" w:space="0" w:color="000000"/>
              <w:left w:val="single" w:sz="4" w:space="0" w:color="000000"/>
              <w:bottom w:val="single" w:sz="4" w:space="0" w:color="000000"/>
              <w:right w:val="single" w:sz="4" w:space="0" w:color="000000"/>
            </w:tcBorders>
          </w:tcPr>
          <w:p w14:paraId="486471D2" w14:textId="77777777" w:rsidR="00D33C42" w:rsidRDefault="00D33C42" w:rsidP="00D33C42">
            <w:pPr>
              <w:spacing w:after="0"/>
              <w:ind w:left="1512"/>
            </w:pPr>
            <w:r>
              <w:rPr>
                <w:sz w:val="24"/>
              </w:rPr>
              <w:t xml:space="preserve">Mois 3 </w:t>
            </w:r>
          </w:p>
        </w:tc>
        <w:tc>
          <w:tcPr>
            <w:tcW w:w="5217" w:type="dxa"/>
            <w:tcBorders>
              <w:top w:val="single" w:sz="4" w:space="0" w:color="000000"/>
              <w:left w:val="single" w:sz="4" w:space="0" w:color="000000"/>
              <w:bottom w:val="single" w:sz="4" w:space="0" w:color="000000"/>
              <w:right w:val="single" w:sz="4" w:space="0" w:color="000000"/>
            </w:tcBorders>
          </w:tcPr>
          <w:p w14:paraId="506F5F0D" w14:textId="77777777" w:rsidR="00D33C42" w:rsidRDefault="00D33C42" w:rsidP="00D33C42">
            <w:pPr>
              <w:spacing w:after="0"/>
              <w:ind w:left="2"/>
            </w:pPr>
            <w:r>
              <w:rPr>
                <w:sz w:val="24"/>
              </w:rPr>
              <w:t xml:space="preserve">81,55 € </w:t>
            </w:r>
          </w:p>
        </w:tc>
      </w:tr>
    </w:tbl>
    <w:p w14:paraId="5B928F0A" w14:textId="13128DDA" w:rsidR="00BC5B19" w:rsidRDefault="00D33C42">
      <w:pPr>
        <w:spacing w:after="0"/>
        <w:ind w:left="178"/>
      </w:pPr>
      <w:r>
        <w:rPr>
          <w:sz w:val="24"/>
        </w:rPr>
        <w:br w:type="textWrapping" w:clear="all"/>
      </w:r>
      <w:r w:rsidR="00000000">
        <w:rPr>
          <w:sz w:val="24"/>
        </w:rPr>
        <w:t xml:space="preserve"> </w:t>
      </w:r>
    </w:p>
    <w:p w14:paraId="5F5AFFA6" w14:textId="507EC3C2" w:rsidR="00BC5B19" w:rsidRDefault="00000000" w:rsidP="00D33C42">
      <w:pPr>
        <w:spacing w:after="0"/>
        <w:ind w:left="178"/>
      </w:pPr>
      <w:r>
        <w:rPr>
          <w:sz w:val="24"/>
        </w:rPr>
        <w:t xml:space="preserve"> Les tarifs pour le 2e trimestre seront transmis début janvier et ceux pour le 3e trimestre début avril. Le repas exceptionnel doit être réservé et payé avant d’être consommé. Il est au tarif unique de 5,30 €*. </w:t>
      </w:r>
    </w:p>
    <w:p w14:paraId="410E6250" w14:textId="77777777" w:rsidR="00BC5B19" w:rsidRDefault="00000000">
      <w:pPr>
        <w:spacing w:after="62"/>
        <w:ind w:left="178"/>
      </w:pPr>
      <w:r>
        <w:rPr>
          <w:i/>
          <w:sz w:val="16"/>
        </w:rPr>
        <w:t xml:space="preserve">*tarif susceptible d’augmenter au 01/01/2026 </w:t>
      </w:r>
    </w:p>
    <w:p w14:paraId="5FDE7D30" w14:textId="77777777" w:rsidR="00BC5B19" w:rsidRDefault="00000000">
      <w:pPr>
        <w:spacing w:after="0"/>
        <w:ind w:left="178"/>
      </w:pPr>
      <w:r>
        <w:rPr>
          <w:sz w:val="24"/>
        </w:rPr>
        <w:t xml:space="preserve"> </w:t>
      </w:r>
    </w:p>
    <w:p w14:paraId="75758A61" w14:textId="77777777" w:rsidR="00BC5B19" w:rsidRDefault="00000000">
      <w:pPr>
        <w:spacing w:after="10" w:line="249" w:lineRule="auto"/>
        <w:ind w:left="188" w:hanging="10"/>
      </w:pPr>
      <w:r>
        <w:rPr>
          <w:rFonts w:ascii="Segoe UI Emoji" w:eastAsia="Segoe UI Emoji" w:hAnsi="Segoe UI Emoji" w:cs="Segoe UI Emoji"/>
          <w:color w:val="F8312F"/>
        </w:rPr>
        <w:t xml:space="preserve"> </w:t>
      </w:r>
      <w:r>
        <w:t xml:space="preserve"> À savoir : Un badge est fourni lors de l’entrée au Collège et il doit être conservé tout au long de la scolarité. En cas de perte ou de casse, une nouvelle carte devra être rachetée auprès du chef de cuisine au tarif unique de 5€. </w:t>
      </w:r>
    </w:p>
    <w:p w14:paraId="5FEBB5C2" w14:textId="1ADC6A99" w:rsidR="00D33C42" w:rsidRPr="00D33C42" w:rsidRDefault="00000000" w:rsidP="00D33C42">
      <w:pPr>
        <w:spacing w:after="8"/>
        <w:ind w:left="178"/>
        <w:rPr>
          <w:sz w:val="24"/>
        </w:rPr>
      </w:pPr>
      <w:r>
        <w:rPr>
          <w:sz w:val="24"/>
        </w:rPr>
        <w:t xml:space="preserve"> </w:t>
      </w:r>
    </w:p>
    <w:p w14:paraId="7D024970" w14:textId="77777777" w:rsidR="00BC5B19" w:rsidRDefault="00000000">
      <w:pPr>
        <w:spacing w:after="47"/>
        <w:ind w:left="163"/>
      </w:pPr>
      <w:r>
        <w:rPr>
          <w:rFonts w:ascii="Segoe UI Emoji" w:eastAsia="Segoe UI Emoji" w:hAnsi="Segoe UI Emoji" w:cs="Segoe UI Emoji"/>
          <w:color w:val="BB1D80"/>
          <w:sz w:val="24"/>
        </w:rPr>
        <w:t xml:space="preserve"> </w:t>
      </w:r>
      <w:r>
        <w:rPr>
          <w:b/>
          <w:sz w:val="24"/>
        </w:rPr>
        <w:t xml:space="preserve"> Besoin d’informations ?  </w:t>
      </w:r>
    </w:p>
    <w:p w14:paraId="3F0CEBF6" w14:textId="2F8D52F8" w:rsidR="00D33C42" w:rsidRDefault="00000000" w:rsidP="00D33C42">
      <w:pPr>
        <w:spacing w:after="1539" w:line="250" w:lineRule="auto"/>
        <w:ind w:left="17" w:hanging="10"/>
        <w:rPr>
          <w:sz w:val="24"/>
        </w:rPr>
      </w:pPr>
      <w:r>
        <w:rPr>
          <w:sz w:val="24"/>
        </w:rPr>
        <w:t xml:space="preserve">Merci de nous contacter par mail uniquement : </w:t>
      </w:r>
      <w:hyperlink r:id="rId11" w:history="1">
        <w:r w:rsidR="00D33C42" w:rsidRPr="0097669D">
          <w:rPr>
            <w:rStyle w:val="Lienhypertexte"/>
            <w:sz w:val="24"/>
          </w:rPr>
          <w:t>facturation.beynost.fr@sodexo.com</w:t>
        </w:r>
      </w:hyperlink>
      <w:r>
        <w:rPr>
          <w:sz w:val="24"/>
        </w:rPr>
        <w:t xml:space="preserve"> </w:t>
      </w:r>
    </w:p>
    <w:p w14:paraId="58B7A0A5" w14:textId="77777777" w:rsidR="00DE1988" w:rsidRDefault="00DE1988" w:rsidP="00D33C42">
      <w:pPr>
        <w:spacing w:after="1539" w:line="250" w:lineRule="auto"/>
        <w:ind w:left="17" w:hanging="10"/>
        <w:rPr>
          <w:sz w:val="24"/>
        </w:rPr>
      </w:pPr>
    </w:p>
    <w:p w14:paraId="1B459485" w14:textId="348DCD62" w:rsidR="00D33C42" w:rsidRDefault="00000000" w:rsidP="00D33C42">
      <w:pPr>
        <w:spacing w:after="1539" w:line="250" w:lineRule="auto"/>
        <w:ind w:left="17" w:hanging="10"/>
        <w:rPr>
          <w:sz w:val="24"/>
        </w:rPr>
      </w:pPr>
      <w:r>
        <w:rPr>
          <w:sz w:val="24"/>
        </w:rPr>
        <w:t xml:space="preserve"> </w:t>
      </w:r>
    </w:p>
    <w:p w14:paraId="795E5FCA" w14:textId="77777777" w:rsidR="00D33C42" w:rsidRDefault="00D33C42" w:rsidP="00D33C42">
      <w:pPr>
        <w:spacing w:after="1539" w:line="250" w:lineRule="auto"/>
        <w:ind w:left="17" w:hanging="10"/>
        <w:rPr>
          <w:sz w:val="24"/>
        </w:rPr>
      </w:pPr>
    </w:p>
    <w:p w14:paraId="71E2AB65" w14:textId="77777777" w:rsidR="00D33C42" w:rsidRDefault="00D33C42" w:rsidP="00D33C42">
      <w:pPr>
        <w:spacing w:after="1539" w:line="250" w:lineRule="auto"/>
        <w:ind w:left="17" w:hanging="10"/>
      </w:pPr>
    </w:p>
    <w:p w14:paraId="2CFF6569" w14:textId="48F3BFD8" w:rsidR="00BC5B19" w:rsidRDefault="00000000" w:rsidP="00D33C42">
      <w:pPr>
        <w:spacing w:after="1539" w:line="250" w:lineRule="auto"/>
        <w:ind w:left="17" w:hanging="10"/>
      </w:pPr>
      <w:r>
        <w:rPr>
          <w:rFonts w:ascii="Cambria" w:eastAsia="Cambria" w:hAnsi="Cambria" w:cs="Cambria"/>
          <w:sz w:val="20"/>
        </w:rPr>
        <w:tab/>
        <w:t xml:space="preserve"> </w:t>
      </w:r>
    </w:p>
    <w:sectPr w:rsidR="00BC5B19" w:rsidSect="00D33C42">
      <w:pgSz w:w="11899" w:h="16850"/>
      <w:pgMar w:top="720" w:right="720" w:bottom="720" w:left="72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301C85"/>
    <w:multiLevelType w:val="hybridMultilevel"/>
    <w:tmpl w:val="05B2B7CC"/>
    <w:lvl w:ilvl="0" w:tplc="BC605044">
      <w:start w:val="1"/>
      <w:numFmt w:val="bullet"/>
      <w:lvlText w:val="➢"/>
      <w:lvlJc w:val="left"/>
      <w:pPr>
        <w:ind w:left="455"/>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97C2914">
      <w:start w:val="1"/>
      <w:numFmt w:val="bullet"/>
      <w:lvlText w:val="o"/>
      <w:lvlJc w:val="left"/>
      <w:pPr>
        <w:ind w:left="227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42F06FD2">
      <w:start w:val="1"/>
      <w:numFmt w:val="bullet"/>
      <w:lvlText w:val="▪"/>
      <w:lvlJc w:val="left"/>
      <w:pPr>
        <w:ind w:left="299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3BE2DBEA">
      <w:start w:val="1"/>
      <w:numFmt w:val="bullet"/>
      <w:lvlText w:val="•"/>
      <w:lvlJc w:val="left"/>
      <w:pPr>
        <w:ind w:left="371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59B26F74">
      <w:start w:val="1"/>
      <w:numFmt w:val="bullet"/>
      <w:lvlText w:val="o"/>
      <w:lvlJc w:val="left"/>
      <w:pPr>
        <w:ind w:left="443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84EAF3A">
      <w:start w:val="1"/>
      <w:numFmt w:val="bullet"/>
      <w:lvlText w:val="▪"/>
      <w:lvlJc w:val="left"/>
      <w:pPr>
        <w:ind w:left="515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F48E038">
      <w:start w:val="1"/>
      <w:numFmt w:val="bullet"/>
      <w:lvlText w:val="•"/>
      <w:lvlJc w:val="left"/>
      <w:pPr>
        <w:ind w:left="587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6F382272">
      <w:start w:val="1"/>
      <w:numFmt w:val="bullet"/>
      <w:lvlText w:val="o"/>
      <w:lvlJc w:val="left"/>
      <w:pPr>
        <w:ind w:left="659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D318BD90">
      <w:start w:val="1"/>
      <w:numFmt w:val="bullet"/>
      <w:lvlText w:val="▪"/>
      <w:lvlJc w:val="left"/>
      <w:pPr>
        <w:ind w:left="731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num w:numId="1" w16cid:durableId="8314565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5B19"/>
    <w:rsid w:val="00BC5B19"/>
    <w:rsid w:val="00CB62A8"/>
    <w:rsid w:val="00D33C42"/>
    <w:rsid w:val="00DE198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95250"/>
  <w15:docId w15:val="{3822DBA8-6966-4AC6-A4D4-7236E4567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fr-FR" w:eastAsia="fr-F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59" w:lineRule="auto"/>
    </w:pPr>
    <w:rPr>
      <w:rFonts w:ascii="Calibri" w:eastAsia="Calibri" w:hAnsi="Calibri" w:cs="Calibri"/>
      <w:color w:val="000000"/>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Lienhypertexte">
    <w:name w:val="Hyperlink"/>
    <w:basedOn w:val="Policepardfaut"/>
    <w:uiPriority w:val="99"/>
    <w:unhideWhenUsed/>
    <w:rsid w:val="00D33C42"/>
    <w:rPr>
      <w:color w:val="467886" w:themeColor="hyperlink"/>
      <w:u w:val="single"/>
    </w:rPr>
  </w:style>
  <w:style w:type="character" w:styleId="Mentionnonrsolue">
    <w:name w:val="Unresolved Mention"/>
    <w:basedOn w:val="Policepardfaut"/>
    <w:uiPriority w:val="99"/>
    <w:semiHidden/>
    <w:unhideWhenUsed/>
    <w:rsid w:val="00D33C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urldefense.com/v3/__https:/aes00416.paiementdp.com__;!!P5FZM7ryyeY!VxykPofJ7jHKt_KGAZ2uVsoDOIGTRTrpimCRDFc8IcQnrDOP-HYJNW3vfWplBx2cngfW4234-7ucIUvizAu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urldefense.com/v3/__https:/aes00416.paiementdp.com__;!!P5FZM7ryyeY!VxykPofJ7jHKt_KGAZ2uVsoDOIGTRTrpimCRDFc8IcQnrDOP-HYJNW3vfWplBx2cngfW4234-7ucIUvizAu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mailto:facturation.beynost.fr@sodexo.com" TargetMode="External"/><Relationship Id="rId5" Type="http://schemas.openxmlformats.org/officeDocument/2006/relationships/webSettings" Target="webSettings.xml"/><Relationship Id="rId10" Type="http://schemas.openxmlformats.org/officeDocument/2006/relationships/hyperlink" Target="https://urldefense.com/v3/__https:/aes00416.paiementdp.com__;!!P5FZM7ryyeY!VxykPofJ7jHKt_KGAZ2uVsoDOIGTRTrpimCRDFc8IcQnrDOP-HYJNW3vfWplBx2cngfW4234-7ucIUvizAut$" TargetMode="External"/><Relationship Id="rId4" Type="http://schemas.openxmlformats.org/officeDocument/2006/relationships/settings" Target="settings.xml"/><Relationship Id="rId9" Type="http://schemas.openxmlformats.org/officeDocument/2006/relationships/hyperlink" Target="https://urldefense.com/v3/__https:/aes00416.paiementdp.com__;!!P5FZM7ryyeY!VxykPofJ7jHKt_KGAZ2uVsoDOIGTRTrpimCRDFc8IcQnrDOP-HYJNW3vfWplBx2cngfW4234-7ucIUvizAu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F9EDC1-A402-4026-A34D-19CA6E18DD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436</Words>
  <Characters>2174</Characters>
  <Application>Microsoft Office Word</Application>
  <DocSecurity>0</DocSecurity>
  <Lines>70</Lines>
  <Paragraphs>47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Auffeves, Carole</dc:creator>
  <cp:keywords/>
  <cp:lastModifiedBy>YVON PONS</cp:lastModifiedBy>
  <cp:revision>2</cp:revision>
  <dcterms:created xsi:type="dcterms:W3CDTF">2026-01-13T19:47:00Z</dcterms:created>
  <dcterms:modified xsi:type="dcterms:W3CDTF">2026-01-13T19:47:00Z</dcterms:modified>
</cp:coreProperties>
</file>